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182" w:rsidRPr="007E5182" w:rsidRDefault="007E5182" w:rsidP="007E5182">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NL"/>
        </w:rPr>
      </w:pPr>
      <w:r w:rsidRPr="007E5182">
        <w:rPr>
          <w:rFonts w:ascii="Times New Roman" w:eastAsia="Times New Roman" w:hAnsi="Times New Roman" w:cs="Times New Roman"/>
          <w:b/>
          <w:bCs/>
          <w:sz w:val="27"/>
          <w:szCs w:val="27"/>
          <w:lang w:eastAsia="nl-NL"/>
        </w:rPr>
        <w:t>Koopovereenkomst</w:t>
      </w:r>
    </w:p>
    <w:p w:rsidR="007E5182" w:rsidRPr="007E5182" w:rsidRDefault="007E5182" w:rsidP="007E5182">
      <w:pPr>
        <w:spacing w:after="0" w:line="240" w:lineRule="auto"/>
        <w:rPr>
          <w:rFonts w:ascii="Times New Roman" w:eastAsia="Times New Roman" w:hAnsi="Times New Roman" w:cs="Times New Roman"/>
          <w:sz w:val="24"/>
          <w:szCs w:val="24"/>
          <w:lang w:eastAsia="nl-NL"/>
        </w:rPr>
      </w:pPr>
      <w:r w:rsidRPr="007E5182">
        <w:rPr>
          <w:rFonts w:ascii="Times New Roman" w:eastAsia="Times New Roman" w:hAnsi="Times New Roman" w:cs="Times New Roman"/>
          <w:sz w:val="24"/>
          <w:szCs w:val="24"/>
          <w:lang w:eastAsia="nl-NL"/>
        </w:rPr>
        <w:pict>
          <v:rect id="_x0000_i1025" style="width:0;height:1.5pt" o:hralign="center" o:hrstd="t" o:hr="t" fillcolor="#a0a0a0" stroked="f"/>
        </w:pic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ondergetekenden, partijen bij deze overeenkomst, te weten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3611"/>
        <w:gridCol w:w="4969"/>
      </w:tblGrid>
      <w:tr w:rsidR="007E5182" w:rsidRPr="007E5182" w:rsidTr="007E5182">
        <w:trPr>
          <w:tblCellSpacing w:w="15" w:type="dxa"/>
        </w:trPr>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a.</w:t>
            </w:r>
          </w:p>
        </w:tc>
        <w:tc>
          <w:tcPr>
            <w:tcW w:w="200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br/>
              <w:t>wonende te</w:t>
            </w:r>
          </w:p>
        </w:tc>
        <w:tc>
          <w:tcPr>
            <w:tcW w:w="27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br/>
              <w:t>(code/plaats)</w:t>
            </w:r>
            <w:r w:rsidRPr="007E5182">
              <w:rPr>
                <w:rFonts w:ascii="Times New Roman" w:eastAsia="Times New Roman" w:hAnsi="Times New Roman" w:cs="Times New Roman"/>
                <w:b/>
                <w:bCs/>
                <w:sz w:val="24"/>
                <w:szCs w:val="24"/>
                <w:lang w:eastAsia="nl-NL"/>
              </w:rPr>
              <w:br/>
              <w:t>(straat)</w:t>
            </w:r>
          </w:p>
        </w:tc>
      </w:tr>
      <w:tr w:rsidR="007E5182" w:rsidRPr="007E5182" w:rsidTr="007E5182">
        <w:trPr>
          <w:tblCellSpacing w:w="15" w:type="dxa"/>
        </w:trPr>
        <w:tc>
          <w:tcPr>
            <w:tcW w:w="0" w:type="auto"/>
            <w:gridSpan w:val="3"/>
            <w:vAlign w:val="center"/>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hierna te noemen verkoper,</w:t>
            </w:r>
          </w:p>
        </w:tc>
      </w:tr>
    </w:tbl>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2"/>
        <w:gridCol w:w="3611"/>
        <w:gridCol w:w="4969"/>
      </w:tblGrid>
      <w:tr w:rsidR="007E5182" w:rsidRPr="007E5182" w:rsidTr="007E5182">
        <w:trPr>
          <w:tblCellSpacing w:w="15" w:type="dxa"/>
        </w:trPr>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b.</w:t>
            </w:r>
          </w:p>
        </w:tc>
        <w:tc>
          <w:tcPr>
            <w:tcW w:w="200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br/>
              <w:t>wonende te</w:t>
            </w:r>
          </w:p>
        </w:tc>
        <w:tc>
          <w:tcPr>
            <w:tcW w:w="27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br/>
              <w:t>(code/plaats)</w:t>
            </w:r>
            <w:r w:rsidRPr="007E5182">
              <w:rPr>
                <w:rFonts w:ascii="Times New Roman" w:eastAsia="Times New Roman" w:hAnsi="Times New Roman" w:cs="Times New Roman"/>
                <w:b/>
                <w:bCs/>
                <w:sz w:val="24"/>
                <w:szCs w:val="24"/>
                <w:lang w:eastAsia="nl-NL"/>
              </w:rPr>
              <w:br/>
              <w:t>(straat)</w:t>
            </w:r>
          </w:p>
        </w:tc>
      </w:tr>
      <w:tr w:rsidR="007E5182" w:rsidRPr="007E5182" w:rsidTr="007E5182">
        <w:trPr>
          <w:tblCellSpacing w:w="15" w:type="dxa"/>
        </w:trPr>
        <w:tc>
          <w:tcPr>
            <w:tcW w:w="0" w:type="auto"/>
            <w:gridSpan w:val="3"/>
            <w:vAlign w:val="center"/>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hierna te noemen kopers,</w:t>
            </w:r>
          </w:p>
        </w:tc>
      </w:tr>
    </w:tbl>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
        <w:gridCol w:w="8578"/>
      </w:tblGrid>
      <w:tr w:rsidR="007E5182" w:rsidRPr="007E5182" w:rsidTr="007E5182">
        <w:trPr>
          <w:tblCellSpacing w:w="15" w:type="dxa"/>
        </w:trPr>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c.</w:t>
            </w:r>
          </w:p>
        </w:tc>
        <w:tc>
          <w:tcPr>
            <w:tcW w:w="47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NEDERLANDSE VERENIGING VAN SAARLOOSWOLFHONDEN</w:t>
            </w:r>
            <w:r w:rsidRPr="007E5182">
              <w:rPr>
                <w:rFonts w:ascii="Times New Roman" w:eastAsia="Times New Roman" w:hAnsi="Times New Roman" w:cs="Times New Roman"/>
                <w:b/>
                <w:bCs/>
                <w:sz w:val="24"/>
                <w:szCs w:val="24"/>
                <w:lang w:eastAsia="nl-NL"/>
              </w:rPr>
              <w:br/>
            </w:r>
            <w:proofErr w:type="spellStart"/>
            <w:r w:rsidRPr="007E5182">
              <w:rPr>
                <w:rFonts w:ascii="Times New Roman" w:eastAsia="Times New Roman" w:hAnsi="Times New Roman" w:cs="Times New Roman"/>
                <w:b/>
                <w:bCs/>
                <w:sz w:val="24"/>
                <w:szCs w:val="24"/>
                <w:lang w:eastAsia="nl-NL"/>
              </w:rPr>
              <w:t>K.v.K.</w:t>
            </w:r>
            <w:proofErr w:type="spellEnd"/>
            <w:r w:rsidRPr="007E5182">
              <w:rPr>
                <w:rFonts w:ascii="Times New Roman" w:eastAsia="Times New Roman" w:hAnsi="Times New Roman" w:cs="Times New Roman"/>
                <w:b/>
                <w:bCs/>
                <w:sz w:val="24"/>
                <w:szCs w:val="24"/>
                <w:lang w:eastAsia="nl-NL"/>
              </w:rPr>
              <w:t xml:space="preserve"> V 321350 Zuid-Holland, Dordrecht</w:t>
            </w:r>
            <w:r w:rsidRPr="007E5182">
              <w:rPr>
                <w:rFonts w:ascii="Times New Roman" w:eastAsia="Times New Roman" w:hAnsi="Times New Roman" w:cs="Times New Roman"/>
                <w:b/>
                <w:bCs/>
                <w:sz w:val="24"/>
                <w:szCs w:val="24"/>
                <w:lang w:eastAsia="nl-NL"/>
              </w:rPr>
              <w:br/>
              <w:t>hierna verder te noemen NVSWH,</w:t>
            </w:r>
          </w:p>
        </w:tc>
      </w:tr>
    </w:tbl>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in aanmerking nemende:</w:t>
      </w:r>
    </w:p>
    <w:p w:rsidR="007E5182" w:rsidRPr="007E5182" w:rsidRDefault="007E5182" w:rsidP="007E5182">
      <w:pPr>
        <w:numPr>
          <w:ilvl w:val="1"/>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Dat verkoper verklaart in eigendom te hebben de hieronder sub II.1 omschreven raszuivere SAARLOOSWOLFHOND, hierna te noemen deze SH;</w:t>
      </w:r>
    </w:p>
    <w:p w:rsidR="007E5182" w:rsidRPr="007E5182" w:rsidRDefault="007E5182" w:rsidP="007E5182">
      <w:pPr>
        <w:numPr>
          <w:ilvl w:val="1"/>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dat koper verklaart deze SWH te willen kopen van verkoper;</w:t>
      </w:r>
    </w:p>
    <w:p w:rsidR="007E5182" w:rsidRPr="007E5182" w:rsidRDefault="007E5182" w:rsidP="007E5182">
      <w:pPr>
        <w:numPr>
          <w:ilvl w:val="1"/>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dat koper verklaart voor deze SWH de koopprijs te willen betalen;</w:t>
      </w:r>
    </w:p>
    <w:p w:rsidR="007E5182" w:rsidRPr="007E5182" w:rsidRDefault="007E5182" w:rsidP="007E5182">
      <w:pPr>
        <w:spacing w:before="100" w:beforeAutospacing="1" w:after="100" w:afterAutospacing="1" w:line="240" w:lineRule="auto"/>
        <w:rPr>
          <w:rFonts w:ascii="Times New Roman" w:eastAsia="Times New Roman" w:hAnsi="Times New Roman" w:cs="Times New Roman"/>
          <w:sz w:val="24"/>
          <w:szCs w:val="24"/>
          <w:lang w:eastAsia="nl-NL"/>
        </w:rPr>
      </w:pPr>
      <w:r w:rsidRPr="007E5182">
        <w:rPr>
          <w:rFonts w:ascii="Times New Roman" w:eastAsia="Times New Roman" w:hAnsi="Times New Roman" w:cs="Times New Roman"/>
          <w:sz w:val="24"/>
          <w:szCs w:val="24"/>
          <w:lang w:eastAsia="nl-NL"/>
        </w:rPr>
        <w:t> </w:t>
      </w:r>
    </w:p>
    <w:p w:rsidR="007E5182" w:rsidRPr="007E5182" w:rsidRDefault="007E5182" w:rsidP="007E5182">
      <w:pPr>
        <w:spacing w:after="0" w:line="240" w:lineRule="auto"/>
        <w:ind w:left="1440"/>
        <w:rPr>
          <w:rFonts w:ascii="Times New Roman" w:eastAsia="Times New Roman" w:hAnsi="Times New Roman" w:cs="Times New Roman"/>
          <w:sz w:val="24"/>
          <w:szCs w:val="24"/>
          <w:lang w:eastAsia="nl-NL"/>
        </w:rPr>
      </w:pPr>
      <w:r w:rsidRPr="007E5182">
        <w:rPr>
          <w:rFonts w:ascii="Times New Roman" w:eastAsia="Times New Roman" w:hAnsi="Times New Roman" w:cs="Times New Roman"/>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voorts in aanmerking nemende:</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Dat ondergetekenden het zonder enig voorbehoud gewenst achten dat de huidige en toekomstige populatie van </w:t>
      </w:r>
      <w:proofErr w:type="spellStart"/>
      <w:r w:rsidRPr="007E5182">
        <w:rPr>
          <w:rFonts w:ascii="Times New Roman" w:eastAsia="Times New Roman" w:hAnsi="Times New Roman" w:cs="Times New Roman"/>
          <w:b/>
          <w:bCs/>
          <w:sz w:val="24"/>
          <w:szCs w:val="24"/>
          <w:lang w:eastAsia="nl-NL"/>
        </w:rPr>
        <w:t>Saarlooswolfhonden</w:t>
      </w:r>
      <w:proofErr w:type="spellEnd"/>
      <w:r w:rsidRPr="007E5182">
        <w:rPr>
          <w:rFonts w:ascii="Times New Roman" w:eastAsia="Times New Roman" w:hAnsi="Times New Roman" w:cs="Times New Roman"/>
          <w:b/>
          <w:bCs/>
          <w:sz w:val="24"/>
          <w:szCs w:val="24"/>
          <w:lang w:eastAsia="nl-NL"/>
        </w:rPr>
        <w:t xml:space="preserve"> (</w:t>
      </w:r>
      <w:proofErr w:type="spellStart"/>
      <w:r w:rsidRPr="007E5182">
        <w:rPr>
          <w:rFonts w:ascii="Times New Roman" w:eastAsia="Times New Roman" w:hAnsi="Times New Roman" w:cs="Times New Roman"/>
          <w:b/>
          <w:bCs/>
          <w:sz w:val="24"/>
          <w:szCs w:val="24"/>
          <w:lang w:eastAsia="nl-NL"/>
        </w:rPr>
        <w:t>SWH's</w:t>
      </w:r>
      <w:proofErr w:type="spellEnd"/>
      <w:r w:rsidRPr="007E5182">
        <w:rPr>
          <w:rFonts w:ascii="Times New Roman" w:eastAsia="Times New Roman" w:hAnsi="Times New Roman" w:cs="Times New Roman"/>
          <w:b/>
          <w:bCs/>
          <w:sz w:val="24"/>
          <w:szCs w:val="24"/>
          <w:lang w:eastAsia="nl-NL"/>
        </w:rPr>
        <w:t>) wordt beschermd en zoveel mogelijk verder veredeld;</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Dat ondergetekenden onderschrijven dat zulks alleen kan worden gerealiseerd door het stellen en (doen) naleven van stringente regels met betrekking tot de verzorging en het fokken ofwel kruisen van </w:t>
      </w:r>
      <w:proofErr w:type="spellStart"/>
      <w:r w:rsidRPr="007E5182">
        <w:rPr>
          <w:rFonts w:ascii="Times New Roman" w:eastAsia="Times New Roman" w:hAnsi="Times New Roman" w:cs="Times New Roman"/>
          <w:b/>
          <w:bCs/>
          <w:sz w:val="24"/>
          <w:szCs w:val="24"/>
          <w:lang w:eastAsia="nl-NL"/>
        </w:rPr>
        <w:t>Saarlooswolfhonden</w:t>
      </w:r>
      <w:proofErr w:type="spellEnd"/>
      <w:r w:rsidRPr="007E5182">
        <w:rPr>
          <w:rFonts w:ascii="Times New Roman" w:eastAsia="Times New Roman" w:hAnsi="Times New Roman" w:cs="Times New Roman"/>
          <w:b/>
          <w:bCs/>
          <w:sz w:val="24"/>
          <w:szCs w:val="24"/>
          <w:lang w:eastAsia="nl-NL"/>
        </w:rPr>
        <w:t>;</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Dat in de eerste plaats de verkoper de volle verantwoordelijkheid neemt voor de controle zowel op de nakoming van deze overeenkomst als op de naleving van voornoemde regels; dat echter in de tweede plaats, in geval van in gebreke blijven van de verkoper om welke reden of door welke oorzaak dan ook, de NVSWH te dien aanzien in de rechten en plichten van de verkoper treedt; dat dit laatste </w:t>
      </w:r>
      <w:r w:rsidRPr="007E5182">
        <w:rPr>
          <w:rFonts w:ascii="Times New Roman" w:eastAsia="Times New Roman" w:hAnsi="Times New Roman" w:cs="Times New Roman"/>
          <w:b/>
          <w:bCs/>
          <w:sz w:val="24"/>
          <w:szCs w:val="24"/>
          <w:lang w:eastAsia="nl-NL"/>
        </w:rPr>
        <w:lastRenderedPageBreak/>
        <w:t>evenwel onverlet laat dat de verkoper eerdergenoemde, volle verantwoordelijkheid houdt en derhalve ook volledig aansprakelijk blijft;</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Dat verkoper en koper de volle verantwoordelijkheid willen dragen voor de nakoming van deze overeenkomst en de naleving van voornoemde regels alsmede de controle daarop</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Dat verkoper en koper de positie van de NVSWH op het punt van de controle op en de handhaving van de naleving van deze overeenkomst en van de voornoemde regels zo sterk mogelijk willen maken</w:t>
      </w:r>
    </w:p>
    <w:p w:rsidR="007E5182" w:rsidRPr="007E5182" w:rsidRDefault="007E5182" w:rsidP="007E5182">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Dat in het navolgende onder fok en/of fokkerij alleen wordt verstaan het kruisen van deze SWH met </w:t>
      </w:r>
      <w:proofErr w:type="spellStart"/>
      <w:r w:rsidRPr="007E5182">
        <w:rPr>
          <w:rFonts w:ascii="Times New Roman" w:eastAsia="Times New Roman" w:hAnsi="Times New Roman" w:cs="Times New Roman"/>
          <w:b/>
          <w:bCs/>
          <w:sz w:val="24"/>
          <w:szCs w:val="24"/>
          <w:lang w:eastAsia="nl-NL"/>
        </w:rPr>
        <w:t>SWH's</w:t>
      </w:r>
      <w:proofErr w:type="spellEnd"/>
      <w:r w:rsidRPr="007E5182">
        <w:rPr>
          <w:rFonts w:ascii="Times New Roman" w:eastAsia="Times New Roman" w:hAnsi="Times New Roman" w:cs="Times New Roman"/>
          <w:b/>
          <w:bCs/>
          <w:sz w:val="24"/>
          <w:szCs w:val="24"/>
          <w:lang w:eastAsia="nl-NL"/>
        </w:rPr>
        <w:t xml:space="preserve"> waarvoor de eigenaar een overeenkomst heeft met de NVSWH; anders gezegd, dat het kruisen van deze SWH met </w:t>
      </w:r>
      <w:proofErr w:type="spellStart"/>
      <w:r w:rsidRPr="007E5182">
        <w:rPr>
          <w:rFonts w:ascii="Times New Roman" w:eastAsia="Times New Roman" w:hAnsi="Times New Roman" w:cs="Times New Roman"/>
          <w:b/>
          <w:bCs/>
          <w:sz w:val="24"/>
          <w:szCs w:val="24"/>
          <w:lang w:eastAsia="nl-NL"/>
        </w:rPr>
        <w:t>SWH's</w:t>
      </w:r>
      <w:proofErr w:type="spellEnd"/>
      <w:r w:rsidRPr="007E5182">
        <w:rPr>
          <w:rFonts w:ascii="Times New Roman" w:eastAsia="Times New Roman" w:hAnsi="Times New Roman" w:cs="Times New Roman"/>
          <w:b/>
          <w:bCs/>
          <w:sz w:val="24"/>
          <w:szCs w:val="24"/>
          <w:lang w:eastAsia="nl-NL"/>
        </w:rPr>
        <w:t xml:space="preserve"> waarvoor de eigenaar geen overeenkomst heeft met de NVSWH, volledig is uitgesloten;</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komen hierbij het volgende overeen:</w:t>
      </w:r>
    </w:p>
    <w:p w:rsidR="007E5182" w:rsidRPr="007E5182" w:rsidRDefault="007E5182" w:rsidP="007E5182">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verkoper verbindt zich deze SWH te leveren aan koper, nadat laatstgenoemde daarvoor een bedrag ter hoogte van € 975,00 heeft betaald aan de NVSWH; De NVSWH zal op haar beurt een deel van dat bedrag betalen aan de verkoper, na ontvangst van onderhavige overeenkomst die door de koper, de verkoper en de NVSWH dient te zijn ondertekend. Het voor deze SWH verschuldigde bedrag dient door de koper uiterlijk twee weken vóór de afhaal- c.q. leveringsdatum van deze SWH te zijn voldaan.</w:t>
      </w:r>
      <w:r w:rsidRPr="007E5182">
        <w:rPr>
          <w:rFonts w:ascii="Times New Roman" w:eastAsia="Times New Roman" w:hAnsi="Times New Roman" w:cs="Times New Roman"/>
          <w:b/>
          <w:bCs/>
          <w:sz w:val="24"/>
          <w:szCs w:val="24"/>
          <w:lang w:eastAsia="nl-NL"/>
        </w:rPr>
        <w:br/>
      </w:r>
      <w:r w:rsidRPr="007E5182">
        <w:rPr>
          <w:rFonts w:ascii="Times New Roman" w:eastAsia="Times New Roman" w:hAnsi="Times New Roman" w:cs="Times New Roman"/>
          <w:b/>
          <w:bCs/>
          <w:sz w:val="24"/>
          <w:szCs w:val="24"/>
          <w:lang w:eastAsia="nl-NL"/>
        </w:rPr>
        <w:br/>
        <w:t>Indien de koper deze SWH binnen twee weken na de overeengekomen afhaaldatum niet heeft afgehaald en door hem is nagelaten een andere afhaal- c.q. leveringsdatum met de verkoper overeen te komen, is de verkoper verplicht de NVSWH over deze gang van zaken te informeren. In een dergelijk geval is de NVSWH in beginsel niet verplicht de door de kandidaat-koper reeds betaalde koopsom aan de koper te restitueren; niettemin pleegt de NVSWH, behoudens incidentele gevallen, de betaalde koopsom - waarvan een vergoeding ten bedrage van € 90,00 voor gemaakte kosten in mindering zal zijn gebracht - in het algemeen te restitueren.</w:t>
      </w:r>
    </w:p>
    <w:p w:rsidR="007E5182" w:rsidRPr="007E5182" w:rsidRDefault="007E5182" w:rsidP="007E5182">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Deze SWH wordt gekenmerkt door de volgende gegevens:</w:t>
      </w:r>
    </w:p>
    <w:tbl>
      <w:tblPr>
        <w:tblW w:w="3500" w:type="pct"/>
        <w:tblCellSpacing w:w="15" w:type="dxa"/>
        <w:tblCellMar>
          <w:top w:w="15" w:type="dxa"/>
          <w:left w:w="15" w:type="dxa"/>
          <w:bottom w:w="15" w:type="dxa"/>
          <w:right w:w="15" w:type="dxa"/>
        </w:tblCellMar>
        <w:tblLook w:val="04A0" w:firstRow="1" w:lastRow="0" w:firstColumn="1" w:lastColumn="0" w:noHBand="0" w:noVBand="1"/>
      </w:tblPr>
      <w:tblGrid>
        <w:gridCol w:w="2115"/>
        <w:gridCol w:w="213"/>
        <w:gridCol w:w="4022"/>
      </w:tblGrid>
      <w:tr w:rsidR="007E5182" w:rsidRPr="007E5182" w:rsidTr="007E5182">
        <w:trPr>
          <w:tblCellSpacing w:w="15" w:type="dxa"/>
        </w:trPr>
        <w:tc>
          <w:tcPr>
            <w:tcW w:w="750" w:type="pct"/>
            <w:hideMark/>
          </w:tcPr>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naam</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geboren</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geslacht</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chipnummer</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....-nummer</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naam vader</w:t>
            </w:r>
          </w:p>
          <w:p w:rsidR="007E5182" w:rsidRPr="007E5182" w:rsidRDefault="007E5182" w:rsidP="007E5182">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naam moeder</w:t>
            </w:r>
          </w:p>
        </w:tc>
        <w:tc>
          <w:tcPr>
            <w:tcW w:w="10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w:t>
            </w:r>
          </w:p>
        </w:tc>
        <w:tc>
          <w:tcPr>
            <w:tcW w:w="0" w:type="auto"/>
            <w:hideMark/>
          </w:tcPr>
          <w:p w:rsidR="007E5182" w:rsidRPr="007E5182" w:rsidRDefault="007E5182" w:rsidP="007E5182">
            <w:pPr>
              <w:spacing w:after="0" w:line="240" w:lineRule="auto"/>
              <w:rPr>
                <w:rFonts w:ascii="Times New Roman" w:eastAsia="Times New Roman" w:hAnsi="Times New Roman" w:cs="Times New Roman"/>
                <w:sz w:val="24"/>
                <w:szCs w:val="24"/>
                <w:lang w:eastAsia="nl-NL"/>
              </w:rPr>
            </w:pPr>
            <w:r w:rsidRPr="007E5182">
              <w:rPr>
                <w:rFonts w:ascii="Times New Roman" w:eastAsia="Times New Roman" w:hAnsi="Times New Roman" w:cs="Times New Roman"/>
                <w:sz w:val="24"/>
                <w:szCs w:val="24"/>
                <w:lang w:eastAsia="nl-NL"/>
              </w:rPr>
              <w:t> </w:t>
            </w:r>
          </w:p>
        </w:tc>
      </w:tr>
    </w:tbl>
    <w:p w:rsidR="007E5182" w:rsidRPr="007E5182" w:rsidRDefault="007E5182" w:rsidP="007E5182">
      <w:pPr>
        <w:numPr>
          <w:ilvl w:val="0"/>
          <w:numId w:val="5"/>
        </w:numPr>
        <w:spacing w:beforeAutospacing="1" w:after="100" w:afterAutospacing="1" w:line="240" w:lineRule="auto"/>
        <w:ind w:left="144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lastRenderedPageBreak/>
        <w:t>Koper en verkoper constateren dat deze SWH geen uiterlijke of anderszins waarneembare gebreken of afwijkingen heeft.</w:t>
      </w:r>
    </w:p>
    <w:p w:rsidR="007E5182" w:rsidRPr="007E5182" w:rsidRDefault="007E5182" w:rsidP="007E5182">
      <w:pPr>
        <w:numPr>
          <w:ilvl w:val="0"/>
          <w:numId w:val="5"/>
        </w:numPr>
        <w:spacing w:before="100" w:beforeAutospacing="1" w:after="100" w:afterAutospacing="1" w:line="240" w:lineRule="auto"/>
        <w:ind w:left="144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Deze SWH wordt overgedragen in de staat waarin deze zich op de sub. I genoemde dan wel door partijen anders overeengekomen datum van overdracht bevindt. De koper is verplicht deze SWH binnen acht dagen na ontvangst door een dierenarts te laten onderzoeken op mogelijke gebreken, voor zover die op dat moment althans waarneembaar zijn. Laat de koper dat na, dan kan hij nadien geen rechten doen gelden op enigerlei vorm van schadeloosstelling door de verkoper.</w:t>
      </w:r>
    </w:p>
    <w:p w:rsidR="007E5182" w:rsidRPr="007E5182" w:rsidRDefault="007E5182" w:rsidP="007E5182">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verkoper is verplicht deze SWH met bijbehorende bescheiden, zoals het inentingsbewijs (gezondheidsverklaring) en de stamboom / afstammingsbewijs zoals afgegeven door de Raad van Beheer op Kynologisch Gebied in Nederland of in geval van het buitenland een door de FCI erkende instantie, op de hierboven sub I genoemde datum in eigendom over te dragen aan koper.</w:t>
      </w:r>
      <w:r w:rsidRPr="007E5182">
        <w:rPr>
          <w:rFonts w:ascii="Times New Roman" w:eastAsia="Times New Roman" w:hAnsi="Times New Roman" w:cs="Times New Roman"/>
          <w:b/>
          <w:bCs/>
          <w:sz w:val="24"/>
          <w:szCs w:val="24"/>
          <w:lang w:eastAsia="nl-NL"/>
        </w:rPr>
        <w:br/>
        <w:t>Indien de stamboom / het afstammingsbewijs van deze SWH op de sub I genoemde datum van overdracht van deze SWH nog niet beschikbaar is, verplicht de verkoper zich de stamboom / het afstammingsbewijs binnen twee weken na ontvangst daarvan per aangetekend schrijven te doen toekomen of persoonlijk te overhandigen aan de koper dan wel deze, indien aldus werd overeengekomen, per telefoon of post over de ontvangst van de stamboom / het afstammingsbewijs te informeren.</w:t>
      </w:r>
    </w:p>
    <w:p w:rsidR="007E5182" w:rsidRPr="007E5182" w:rsidRDefault="007E5182" w:rsidP="007E5182">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Deze SWH is voor risico van de verkoper in de periode tussen het sluiten van deze overeenkomst en de datum genoemd sub I waarop deze SWH wordt overgedragen aan de koper.</w:t>
      </w:r>
      <w:r w:rsidRPr="007E5182">
        <w:rPr>
          <w:rFonts w:ascii="Times New Roman" w:eastAsia="Times New Roman" w:hAnsi="Times New Roman" w:cs="Times New Roman"/>
          <w:b/>
          <w:bCs/>
          <w:sz w:val="24"/>
          <w:szCs w:val="24"/>
          <w:lang w:eastAsia="nl-NL"/>
        </w:rPr>
        <w:br/>
        <w:t xml:space="preserve">Indien deze SWH komt te overlijden </w:t>
      </w:r>
      <w:proofErr w:type="spellStart"/>
      <w:r w:rsidRPr="007E5182">
        <w:rPr>
          <w:rFonts w:ascii="Times New Roman" w:eastAsia="Times New Roman" w:hAnsi="Times New Roman" w:cs="Times New Roman"/>
          <w:b/>
          <w:bCs/>
          <w:sz w:val="24"/>
          <w:szCs w:val="24"/>
          <w:lang w:eastAsia="nl-NL"/>
        </w:rPr>
        <w:t>avant</w:t>
      </w:r>
      <w:proofErr w:type="spellEnd"/>
      <w:r w:rsidRPr="007E5182">
        <w:rPr>
          <w:rFonts w:ascii="Times New Roman" w:eastAsia="Times New Roman" w:hAnsi="Times New Roman" w:cs="Times New Roman"/>
          <w:b/>
          <w:bCs/>
          <w:sz w:val="24"/>
          <w:szCs w:val="24"/>
          <w:lang w:eastAsia="nl-NL"/>
        </w:rPr>
        <w:t xml:space="preserve"> de sub I genoemde datum van overdracht, verplicht de NVSWH zich de koper in eerste instantie en onder dezelfde voorwaarden zo mogelijk een andere SWH uit hetzelfde nest dan wel, uit noodzaak in tweede instantie, uit een eerstvolgend ander nest aan te bieden. De koper is echter niet gehouden van dit aanbod gebruik te maken en heeft alsdan het recht deze overeenkomst als ontbonden te beschouwen; de koper ontvangt in dat geval de sub I genoemde betaling voor de NVSWH terug.</w:t>
      </w:r>
    </w:p>
    <w:p w:rsidR="007E5182" w:rsidRPr="007E5182" w:rsidRDefault="007E5182" w:rsidP="007E5182">
      <w:pPr>
        <w:spacing w:before="100" w:beforeAutospacing="1" w:after="100" w:afterAutospacing="1" w:line="240" w:lineRule="auto"/>
        <w:rPr>
          <w:rFonts w:ascii="Times New Roman" w:eastAsia="Times New Roman" w:hAnsi="Times New Roman" w:cs="Times New Roman"/>
          <w:sz w:val="24"/>
          <w:szCs w:val="24"/>
          <w:lang w:eastAsia="nl-NL"/>
        </w:rPr>
      </w:pPr>
      <w:r w:rsidRPr="007E5182">
        <w:rPr>
          <w:rFonts w:ascii="Times New Roman" w:eastAsia="Times New Roman" w:hAnsi="Times New Roman" w:cs="Times New Roman"/>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Ten aanzien van de verzorging van en de fokkerij met deze SWH komen koper, verkoper en NVSWH het navolgende overeen:</w:t>
      </w:r>
    </w:p>
    <w:p w:rsidR="007E5182" w:rsidRPr="007E5182" w:rsidRDefault="007E5182" w:rsidP="007E5182">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u w:val="single"/>
          <w:lang w:eastAsia="nl-NL"/>
        </w:rPr>
        <w:t>t.a.v. verzorging van deze SWH</w:t>
      </w:r>
    </w:p>
    <w:p w:rsidR="007E5182" w:rsidRPr="007E5182" w:rsidRDefault="007E5182" w:rsidP="007E5182">
      <w:pPr>
        <w:numPr>
          <w:ilvl w:val="2"/>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koper zal deze SWH in huiselijke kring opnemen en derhalve in de woning huisvesten.|</w:t>
      </w:r>
      <w:r w:rsidRPr="007E5182">
        <w:rPr>
          <w:rFonts w:ascii="Times New Roman" w:eastAsia="Times New Roman" w:hAnsi="Times New Roman" w:cs="Times New Roman"/>
          <w:b/>
          <w:bCs/>
          <w:sz w:val="24"/>
          <w:szCs w:val="24"/>
          <w:lang w:eastAsia="nl-NL"/>
        </w:rPr>
        <w:br/>
        <w:t>De koper mag deze SWH onder geen beding africhten en/of gebruiken als waak- of politiehond dan wel op permanente basis onderbrengen in een kennel c.q. enige andere ruimte buiten de woning</w:t>
      </w:r>
    </w:p>
    <w:p w:rsidR="007E5182" w:rsidRPr="007E5182" w:rsidRDefault="007E5182" w:rsidP="007E5182">
      <w:pPr>
        <w:numPr>
          <w:ilvl w:val="2"/>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koper is verplicht:</w:t>
      </w:r>
    </w:p>
    <w:p w:rsidR="007E5182" w:rsidRPr="007E5182" w:rsidRDefault="007E5182" w:rsidP="007E5182">
      <w:pPr>
        <w:numPr>
          <w:ilvl w:val="0"/>
          <w:numId w:val="8"/>
        </w:numPr>
        <w:spacing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Deze SWH op de leeftijd van ca. 18 maanden te laten onderzoeken op erfelijke gebreken, waaronder begrepen een door de Raad van Beheer op Kynologisch Gebied in </w:t>
      </w:r>
      <w:r w:rsidRPr="007E5182">
        <w:rPr>
          <w:rFonts w:ascii="Times New Roman" w:eastAsia="Times New Roman" w:hAnsi="Times New Roman" w:cs="Times New Roman"/>
          <w:b/>
          <w:bCs/>
          <w:sz w:val="24"/>
          <w:szCs w:val="24"/>
          <w:lang w:eastAsia="nl-NL"/>
        </w:rPr>
        <w:lastRenderedPageBreak/>
        <w:t>Nederland afdeling Gezondheid, Gedrag en Welzijn erkend heupdysplasie-onderzoek;</w:t>
      </w:r>
    </w:p>
    <w:p w:rsidR="007E5182" w:rsidRPr="007E5182" w:rsidRDefault="007E5182" w:rsidP="007E5182">
      <w:pPr>
        <w:numPr>
          <w:ilvl w:val="0"/>
          <w:numId w:val="8"/>
        </w:numPr>
        <w:spacing w:before="100"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Binnen 2 weken na ontvangst van de resultaten van voornoemd onderzoek de NVSWH daarover te informeren, waaronder begrepen het tonen en overleggen van een </w:t>
      </w:r>
      <w:proofErr w:type="spellStart"/>
      <w:r w:rsidRPr="007E5182">
        <w:rPr>
          <w:rFonts w:ascii="Times New Roman" w:eastAsia="Times New Roman" w:hAnsi="Times New Roman" w:cs="Times New Roman"/>
          <w:b/>
          <w:bCs/>
          <w:sz w:val="24"/>
          <w:szCs w:val="24"/>
          <w:lang w:eastAsia="nl-NL"/>
        </w:rPr>
        <w:t>afchrift</w:t>
      </w:r>
      <w:proofErr w:type="spellEnd"/>
      <w:r w:rsidRPr="007E5182">
        <w:rPr>
          <w:rFonts w:ascii="Times New Roman" w:eastAsia="Times New Roman" w:hAnsi="Times New Roman" w:cs="Times New Roman"/>
          <w:b/>
          <w:bCs/>
          <w:sz w:val="24"/>
          <w:szCs w:val="24"/>
          <w:lang w:eastAsia="nl-NL"/>
        </w:rPr>
        <w:t xml:space="preserve"> van de uitslag aan de NVSWH;</w:t>
      </w:r>
    </w:p>
    <w:p w:rsidR="007E5182" w:rsidRPr="007E5182" w:rsidRDefault="007E5182" w:rsidP="007E5182">
      <w:pPr>
        <w:numPr>
          <w:ilvl w:val="0"/>
          <w:numId w:val="8"/>
        </w:numPr>
        <w:spacing w:before="100"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kosten van laatstgenoemd onderzoek volledig voor zijn rekening te nemen. Zodra een afschrift van de uitslag in het bezit is van de NVSWH zal zij een deel (€ 55,00) van de onderzoekskosten aan de koper vergoeden;</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numPr>
          <w:ilvl w:val="0"/>
          <w:numId w:val="9"/>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De koper is verplicht het "fenotype" (= som van erfelijke eigenschappen en invloed van milieu) van de SWH ongewijzigd te laten. Anders gezegd, behoudens uitdrukkelijke, schriftelijke </w:t>
      </w:r>
      <w:proofErr w:type="spellStart"/>
      <w:r w:rsidRPr="007E5182">
        <w:rPr>
          <w:rFonts w:ascii="Times New Roman" w:eastAsia="Times New Roman" w:hAnsi="Times New Roman" w:cs="Times New Roman"/>
          <w:b/>
          <w:bCs/>
          <w:sz w:val="24"/>
          <w:szCs w:val="24"/>
          <w:lang w:eastAsia="nl-NL"/>
        </w:rPr>
        <w:t>toestemmingt</w:t>
      </w:r>
      <w:proofErr w:type="spellEnd"/>
      <w:r w:rsidRPr="007E5182">
        <w:rPr>
          <w:rFonts w:ascii="Times New Roman" w:eastAsia="Times New Roman" w:hAnsi="Times New Roman" w:cs="Times New Roman"/>
          <w:b/>
          <w:bCs/>
          <w:sz w:val="24"/>
          <w:szCs w:val="24"/>
          <w:lang w:eastAsia="nl-NL"/>
        </w:rPr>
        <w:t xml:space="preserve"> van de NVSWH, is het de koper tevens ten strengste verboden deze SWH te (doen) castreren, steriliseren, dan wel de oestrusperiode (= loopsheid) te (doen)voorkómen, uitstellen of onderbreken;</w:t>
      </w:r>
    </w:p>
    <w:p w:rsidR="007E5182" w:rsidRPr="007E5182" w:rsidRDefault="007E5182" w:rsidP="007E5182">
      <w:pPr>
        <w:numPr>
          <w:ilvl w:val="0"/>
          <w:numId w:val="9"/>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koper mag deze SWH onder geen beding op welke wijze dan ook vervreemden, in bruikleen afstaan dan wel anderszins overdragen aan derden ten behoeve van het fokken of voor welk ander doel dan ook.</w:t>
      </w:r>
    </w:p>
    <w:p w:rsidR="007E5182" w:rsidRPr="007E5182" w:rsidRDefault="007E5182" w:rsidP="007E5182">
      <w:pPr>
        <w:numPr>
          <w:ilvl w:val="0"/>
          <w:numId w:val="10"/>
        </w:numPr>
        <w:spacing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Indien de koper deze SWH - hoewel deze volledig gezond is - niet langer in de huiselijke kring kan of wil handhaven, zal hij de NVSWH terstond informeren en het eigendom en het houderschap van deze SWH zonder enig voorbehoud en zonder enige vergoeding, </w:t>
      </w:r>
      <w:proofErr w:type="spellStart"/>
      <w:r w:rsidRPr="007E5182">
        <w:rPr>
          <w:rFonts w:ascii="Times New Roman" w:eastAsia="Times New Roman" w:hAnsi="Times New Roman" w:cs="Times New Roman"/>
          <w:b/>
          <w:bCs/>
          <w:sz w:val="24"/>
          <w:szCs w:val="24"/>
          <w:lang w:eastAsia="nl-NL"/>
        </w:rPr>
        <w:t>onmiddellijjk</w:t>
      </w:r>
      <w:proofErr w:type="spellEnd"/>
      <w:r w:rsidRPr="007E5182">
        <w:rPr>
          <w:rFonts w:ascii="Times New Roman" w:eastAsia="Times New Roman" w:hAnsi="Times New Roman" w:cs="Times New Roman"/>
          <w:b/>
          <w:bCs/>
          <w:sz w:val="24"/>
          <w:szCs w:val="24"/>
          <w:lang w:eastAsia="nl-NL"/>
        </w:rPr>
        <w:t xml:space="preserve"> overdragen aan de NVSWH. De NVSWH zal op haar beurt zorg dragen voor herplaatsing van deze SWH. De NVSWH brengt voor deze dienstverlening geen kosten in rekening.</w:t>
      </w:r>
    </w:p>
    <w:p w:rsidR="007E5182" w:rsidRPr="007E5182" w:rsidRDefault="007E5182" w:rsidP="007E5182">
      <w:pPr>
        <w:numPr>
          <w:ilvl w:val="0"/>
          <w:numId w:val="10"/>
        </w:numPr>
        <w:spacing w:before="100"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Indien de koper deze SWH - wanneer deze ziek is en/of een gebrek heeft - niet langer kan of wil handhaven, dient hij deze SWH met bijbetaling van een geldelijke vergoeding en </w:t>
      </w:r>
      <w:proofErr w:type="spellStart"/>
      <w:r w:rsidRPr="007E5182">
        <w:rPr>
          <w:rFonts w:ascii="Times New Roman" w:eastAsia="Times New Roman" w:hAnsi="Times New Roman" w:cs="Times New Roman"/>
          <w:b/>
          <w:bCs/>
          <w:sz w:val="24"/>
          <w:szCs w:val="24"/>
          <w:lang w:eastAsia="nl-NL"/>
        </w:rPr>
        <w:t>zondere</w:t>
      </w:r>
      <w:proofErr w:type="spellEnd"/>
      <w:r w:rsidRPr="007E5182">
        <w:rPr>
          <w:rFonts w:ascii="Times New Roman" w:eastAsia="Times New Roman" w:hAnsi="Times New Roman" w:cs="Times New Roman"/>
          <w:b/>
          <w:bCs/>
          <w:sz w:val="24"/>
          <w:szCs w:val="24"/>
          <w:lang w:eastAsia="nl-NL"/>
        </w:rPr>
        <w:t xml:space="preserve"> enig voorbehoud in eigendom over te dragen aan de NVSWH. De omvang van deze vergoeding zal door betrokkenen in goed overleg worden overeengekomen en worden bepaald aan de hand van onder meer de leeftijd van deze SWH en de te verwachten kosten verbonden aan de bestrijding dan wel ondervanging van de ziekte of het gebrek. De NVSWH zal op haar beurt zorg dragen voor herplaatsing van deze SWH. De NVSWH brengt voor deze dienstverlening geen kosten in rekening.</w:t>
      </w:r>
    </w:p>
    <w:p w:rsidR="007E5182" w:rsidRPr="007E5182" w:rsidRDefault="007E5182" w:rsidP="007E5182">
      <w:pPr>
        <w:numPr>
          <w:ilvl w:val="0"/>
          <w:numId w:val="11"/>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De koper draagt de SWH om niet in eigendom over aan de NVSWH onder de opschortende voorwaarde, dat hij niet meer in staat is naar het oordeel van de NVSWH om de SWH zelf in zijn eigen woning te houden en te verzorgen conform de daarvoor </w:t>
      </w:r>
      <w:r w:rsidRPr="007E5182">
        <w:rPr>
          <w:rFonts w:ascii="Times New Roman" w:eastAsia="Times New Roman" w:hAnsi="Times New Roman" w:cs="Times New Roman"/>
          <w:b/>
          <w:bCs/>
          <w:sz w:val="24"/>
          <w:szCs w:val="24"/>
          <w:lang w:eastAsia="nl-NL"/>
        </w:rPr>
        <w:lastRenderedPageBreak/>
        <w:t xml:space="preserve">gestelde regels. </w:t>
      </w:r>
      <w:r w:rsidRPr="007E5182">
        <w:rPr>
          <w:rFonts w:ascii="Times New Roman" w:eastAsia="Times New Roman" w:hAnsi="Times New Roman" w:cs="Times New Roman"/>
          <w:b/>
          <w:bCs/>
          <w:sz w:val="24"/>
          <w:szCs w:val="24"/>
          <w:lang w:eastAsia="nl-NL"/>
        </w:rPr>
        <w:br/>
        <w:t>In alle gevallen dat de koper de SWH niet meer kan houden of verzorgen conform de gestelde regels en deze in verband hiermee aan de NVSWH in eigendom is overgedragen, is de NVSWH op daartoe strekkend verzoek bereid om de SWH in eigendom over te dragen aan de levenspartner of in voorkomende gevallen één der erfgenamen, mits op basis van een daartoe tussen de gegadigde en NVSWH te sluiten contract.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u w:val="single"/>
          <w:lang w:eastAsia="nl-NL"/>
        </w:rPr>
        <w:t>t.a.v. de fokkerij met deze SWH</w:t>
      </w:r>
    </w:p>
    <w:p w:rsidR="007E5182" w:rsidRPr="007E5182" w:rsidRDefault="007E5182" w:rsidP="007E5182">
      <w:pPr>
        <w:numPr>
          <w:ilvl w:val="0"/>
          <w:numId w:val="13"/>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Alleen de NVSWH heeft het recht tot aanwijzing van fokpartners voor </w:t>
      </w:r>
      <w:proofErr w:type="spellStart"/>
      <w:r w:rsidRPr="007E5182">
        <w:rPr>
          <w:rFonts w:ascii="Times New Roman" w:eastAsia="Times New Roman" w:hAnsi="Times New Roman" w:cs="Times New Roman"/>
          <w:b/>
          <w:bCs/>
          <w:sz w:val="24"/>
          <w:szCs w:val="24"/>
          <w:lang w:eastAsia="nl-NL"/>
        </w:rPr>
        <w:t>SWH's</w:t>
      </w:r>
      <w:proofErr w:type="spellEnd"/>
      <w:r w:rsidRPr="007E5182">
        <w:rPr>
          <w:rFonts w:ascii="Times New Roman" w:eastAsia="Times New Roman" w:hAnsi="Times New Roman" w:cs="Times New Roman"/>
          <w:b/>
          <w:bCs/>
          <w:sz w:val="24"/>
          <w:szCs w:val="24"/>
          <w:lang w:eastAsia="nl-NL"/>
        </w:rPr>
        <w:t xml:space="preserve"> en derhalve ook voor deze SWH. Derhalve is het de koper onder geen beding toegestaan deze SWH op eigen initiatief in te zetten voor de fokkerij. In geval van overtreding verbeurt de koper een geldelijke, niet voor matiging vatbare boete conform artikel 4 hieronder.</w:t>
      </w:r>
      <w:r w:rsidRPr="007E5182">
        <w:rPr>
          <w:rFonts w:ascii="Times New Roman" w:eastAsia="Times New Roman" w:hAnsi="Times New Roman" w:cs="Times New Roman"/>
          <w:b/>
          <w:bCs/>
          <w:sz w:val="24"/>
          <w:szCs w:val="24"/>
          <w:lang w:eastAsia="nl-NL"/>
        </w:rPr>
        <w:br/>
        <w:t xml:space="preserve">De NVSWH laat zich bij de aanwijzing van mogelijke fokpartners uitsluitend leiden door overwegingen inzake de geschiktheid van de betrokken SWH-fokpartners - in aanmerking nemende het fenotype, het genotype en de </w:t>
      </w:r>
      <w:proofErr w:type="spellStart"/>
      <w:r w:rsidRPr="007E5182">
        <w:rPr>
          <w:rFonts w:ascii="Times New Roman" w:eastAsia="Times New Roman" w:hAnsi="Times New Roman" w:cs="Times New Roman"/>
          <w:b/>
          <w:bCs/>
          <w:sz w:val="24"/>
          <w:szCs w:val="24"/>
          <w:lang w:eastAsia="nl-NL"/>
        </w:rPr>
        <w:t>fysiekconditionele</w:t>
      </w:r>
      <w:proofErr w:type="spellEnd"/>
      <w:r w:rsidRPr="007E5182">
        <w:rPr>
          <w:rFonts w:ascii="Times New Roman" w:eastAsia="Times New Roman" w:hAnsi="Times New Roman" w:cs="Times New Roman"/>
          <w:b/>
          <w:bCs/>
          <w:sz w:val="24"/>
          <w:szCs w:val="24"/>
          <w:lang w:eastAsia="nl-NL"/>
        </w:rPr>
        <w:t xml:space="preserve"> gesteldheid -, dit alles vanzelfsprekend met het oog op de bescherming en verdere veredeling van de huidige en toekomstige SWH-populatie.</w:t>
      </w:r>
    </w:p>
    <w:p w:rsidR="007E5182" w:rsidRPr="007E5182" w:rsidRDefault="007E5182" w:rsidP="007E5182">
      <w:pPr>
        <w:numPr>
          <w:ilvl w:val="0"/>
          <w:numId w:val="13"/>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Deze SWH kan door de NVSWH, in het belang van de SWH-populatie en de voortzetting daarvan, voor de fokkerij worden aangewezen.</w:t>
      </w:r>
      <w:r w:rsidRPr="007E5182">
        <w:rPr>
          <w:rFonts w:ascii="Times New Roman" w:eastAsia="Times New Roman" w:hAnsi="Times New Roman" w:cs="Times New Roman"/>
          <w:b/>
          <w:bCs/>
          <w:sz w:val="24"/>
          <w:szCs w:val="24"/>
          <w:lang w:eastAsia="nl-NL"/>
        </w:rPr>
        <w:br/>
        <w:t>Indien deze SWH een teef is, is de koper verplicht iedere loopsheid (oestrusperiode) terstond - d.w.z. op de eerste dag van de cyclus - aan de NVSWH te melden.</w:t>
      </w:r>
      <w:r w:rsidRPr="007E5182">
        <w:rPr>
          <w:rFonts w:ascii="Times New Roman" w:eastAsia="Times New Roman" w:hAnsi="Times New Roman" w:cs="Times New Roman"/>
          <w:b/>
          <w:bCs/>
          <w:sz w:val="24"/>
          <w:szCs w:val="24"/>
          <w:lang w:eastAsia="nl-NL"/>
        </w:rPr>
        <w:br/>
        <w:t>Indien deze SWH een reu of een teef is:</w:t>
      </w:r>
    </w:p>
    <w:p w:rsidR="007E5182" w:rsidRPr="007E5182" w:rsidRDefault="007E5182" w:rsidP="007E5182">
      <w:pPr>
        <w:numPr>
          <w:ilvl w:val="0"/>
          <w:numId w:val="14"/>
        </w:numPr>
        <w:spacing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Dient de koper van deze SWH te allen tijde zijn volle medewerking te verlenen aan het inzetten van deze SWH ten behoeve van de fokkerij;</w:t>
      </w:r>
    </w:p>
    <w:p w:rsidR="007E5182" w:rsidRPr="007E5182" w:rsidRDefault="007E5182" w:rsidP="007E5182">
      <w:pPr>
        <w:numPr>
          <w:ilvl w:val="0"/>
          <w:numId w:val="14"/>
        </w:numPr>
        <w:spacing w:before="100"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Zal de koper deze SWH in redelijk overleg met de NVSWH voor dekkingen ter beschikking blijven stellen totdat:</w:t>
      </w:r>
    </w:p>
    <w:p w:rsidR="007E5182" w:rsidRPr="007E5182" w:rsidRDefault="007E5182" w:rsidP="007E5182">
      <w:pPr>
        <w:numPr>
          <w:ilvl w:val="0"/>
          <w:numId w:val="15"/>
        </w:numPr>
        <w:spacing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dekkingspogingen het beoogde resultaat hebben opgeleverd,</w:t>
      </w:r>
    </w:p>
    <w:p w:rsidR="007E5182" w:rsidRPr="007E5182" w:rsidRDefault="007E5182" w:rsidP="007E5182">
      <w:pPr>
        <w:numPr>
          <w:ilvl w:val="0"/>
          <w:numId w:val="15"/>
        </w:numPr>
        <w:spacing w:before="100"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en/of de NVSWH de dekkingspogingen beëindigt,</w:t>
      </w:r>
    </w:p>
    <w:p w:rsidR="007E5182" w:rsidRPr="007E5182" w:rsidRDefault="007E5182" w:rsidP="007E5182">
      <w:pPr>
        <w:numPr>
          <w:ilvl w:val="0"/>
          <w:numId w:val="15"/>
        </w:numPr>
        <w:spacing w:before="100"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of even zo vele malen als door de NVSWH wenselijk wordt geacht.</w:t>
      </w:r>
    </w:p>
    <w:p w:rsidR="007E5182" w:rsidRPr="007E5182" w:rsidRDefault="007E5182" w:rsidP="007E5182">
      <w:pPr>
        <w:numPr>
          <w:ilvl w:val="0"/>
          <w:numId w:val="16"/>
        </w:numPr>
        <w:spacing w:beforeAutospacing="1" w:after="100" w:afterAutospacing="1" w:line="240" w:lineRule="auto"/>
        <w:ind w:left="288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De koper verbindt zich er toe er zorg voor te dragen dat zijn hond in regel is met de reglementen en voorwaarden die van kracht zijn in zijn land van domicilie en naar </w:t>
      </w:r>
      <w:proofErr w:type="spellStart"/>
      <w:r w:rsidRPr="007E5182">
        <w:rPr>
          <w:rFonts w:ascii="Times New Roman" w:eastAsia="Times New Roman" w:hAnsi="Times New Roman" w:cs="Times New Roman"/>
          <w:b/>
          <w:bCs/>
          <w:sz w:val="24"/>
          <w:szCs w:val="24"/>
          <w:lang w:eastAsia="nl-NL"/>
        </w:rPr>
        <w:t>adhoc</w:t>
      </w:r>
      <w:proofErr w:type="spellEnd"/>
      <w:r w:rsidRPr="007E5182">
        <w:rPr>
          <w:rFonts w:ascii="Times New Roman" w:eastAsia="Times New Roman" w:hAnsi="Times New Roman" w:cs="Times New Roman"/>
          <w:b/>
          <w:bCs/>
          <w:sz w:val="24"/>
          <w:szCs w:val="24"/>
          <w:lang w:eastAsia="nl-NL"/>
        </w:rPr>
        <w:t xml:space="preserve"> voorwaarden, naar hem geformuleerd door het bestuur, die in functie van correcte inschrijving van zijn/haar </w:t>
      </w:r>
      <w:r w:rsidRPr="007E5182">
        <w:rPr>
          <w:rFonts w:ascii="Times New Roman" w:eastAsia="Times New Roman" w:hAnsi="Times New Roman" w:cs="Times New Roman"/>
          <w:b/>
          <w:bCs/>
          <w:sz w:val="24"/>
          <w:szCs w:val="24"/>
          <w:lang w:eastAsia="nl-NL"/>
        </w:rPr>
        <w:lastRenderedPageBreak/>
        <w:t>afstammelingen in een door het FCI erkend stamboek, geldig zijn.</w:t>
      </w:r>
    </w:p>
    <w:p w:rsidR="007E5182" w:rsidRPr="007E5182" w:rsidRDefault="007E5182" w:rsidP="007E5182">
      <w:pPr>
        <w:spacing w:before="100" w:beforeAutospacing="1" w:after="100" w:afterAutospacing="1" w:line="240" w:lineRule="auto"/>
        <w:outlineLvl w:val="4"/>
        <w:rPr>
          <w:rFonts w:ascii="Times New Roman" w:eastAsia="Times New Roman" w:hAnsi="Times New Roman" w:cs="Times New Roman"/>
          <w:b/>
          <w:bCs/>
          <w:sz w:val="20"/>
          <w:szCs w:val="20"/>
          <w:lang w:eastAsia="nl-NL"/>
        </w:rPr>
      </w:pPr>
      <w:r w:rsidRPr="007E5182">
        <w:rPr>
          <w:rFonts w:ascii="Times New Roman" w:eastAsia="Times New Roman" w:hAnsi="Times New Roman" w:cs="Times New Roman"/>
          <w:b/>
          <w:bCs/>
          <w:sz w:val="20"/>
          <w:szCs w:val="20"/>
          <w:lang w:eastAsia="nl-NL"/>
        </w:rPr>
        <w:t xml:space="preserve">(*) Wat de implicaties van artikel 2.2 in de dagelijkse praktijk betreft, dient te worden bedacht dat bij de huidige populatie </w:t>
      </w:r>
      <w:proofErr w:type="spellStart"/>
      <w:r w:rsidRPr="007E5182">
        <w:rPr>
          <w:rFonts w:ascii="Times New Roman" w:eastAsia="Times New Roman" w:hAnsi="Times New Roman" w:cs="Times New Roman"/>
          <w:b/>
          <w:bCs/>
          <w:sz w:val="20"/>
          <w:szCs w:val="20"/>
          <w:lang w:eastAsia="nl-NL"/>
        </w:rPr>
        <w:t>Saarlooswolfhonden</w:t>
      </w:r>
      <w:proofErr w:type="spellEnd"/>
      <w:r w:rsidRPr="007E5182">
        <w:rPr>
          <w:rFonts w:ascii="Times New Roman" w:eastAsia="Times New Roman" w:hAnsi="Times New Roman" w:cs="Times New Roman"/>
          <w:b/>
          <w:bCs/>
          <w:sz w:val="20"/>
          <w:szCs w:val="20"/>
          <w:lang w:eastAsia="nl-NL"/>
        </w:rPr>
        <w:t xml:space="preserve"> het totale aantal dekkingen per reu of teef veelal niet groter pleegt te zijn dan maximaal twee à driemaal gedurende de gehele levensduur van een SWH.</w:t>
      </w:r>
    </w:p>
    <w:p w:rsidR="007E5182" w:rsidRPr="007E5182" w:rsidRDefault="007E5182" w:rsidP="007E5182">
      <w:pPr>
        <w:numPr>
          <w:ilvl w:val="0"/>
          <w:numId w:val="17"/>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Inzake de prijsstelling en plaatsingsbemiddeling voor SWH-pups, dekgeld, e.d.:</w:t>
      </w:r>
    </w:p>
    <w:p w:rsidR="007E5182" w:rsidRPr="007E5182" w:rsidRDefault="007E5182" w:rsidP="007E5182">
      <w:pPr>
        <w:numPr>
          <w:ilvl w:val="0"/>
          <w:numId w:val="18"/>
        </w:numPr>
        <w:spacing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prijs van een SWH-pup wordt van jaar tot jaar vastgesteld door de NVSWH;</w:t>
      </w:r>
    </w:p>
    <w:p w:rsidR="007E5182" w:rsidRPr="007E5182" w:rsidRDefault="007E5182" w:rsidP="007E5182">
      <w:pPr>
        <w:numPr>
          <w:ilvl w:val="0"/>
          <w:numId w:val="18"/>
        </w:numPr>
        <w:spacing w:before="100"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In het geval waarin deze SWH een (dek-) reu is, heeft de koper/eigenaar van deze reu, in geval van een geslaagde dekking waarbij het aantal pups twee of meer bedraagt, het zogeheten recht van 1e keus van een pup uit het uit de dekking voortkomende nest. In geval van uitoefening van dit recht is het de eigenaar van de (dek-) reu niet toegestaan de betreffende pup naderhand alsnog te verkopen. Indien de voorkeur van de koper/eigenaar van de (dek-) reu daarentegen uitgaat naar een geldelijke vergoeding (dekgeld), dient hij dat binnen een periode van 4 weken na de geslaagde worp zowel aan de NVSWH als aan de eigenaar van de gedekte SWH-teef kenbaar te maken; het door de eigenaar van de gedekte SWH-teef aan de eigenaar van de (dek-) reu verschuldigde dekgeld is in dat geval gelijk aan de voor dat jaar vastgestelde prijs van een Saarlooswolfhond-pup (= SWH-pup);</w:t>
      </w:r>
    </w:p>
    <w:p w:rsidR="007E5182" w:rsidRPr="007E5182" w:rsidRDefault="007E5182" w:rsidP="007E5182">
      <w:pPr>
        <w:numPr>
          <w:ilvl w:val="0"/>
          <w:numId w:val="18"/>
        </w:numPr>
        <w:spacing w:before="100" w:beforeAutospacing="1" w:after="100" w:afterAutospacing="1" w:line="240" w:lineRule="auto"/>
        <w:ind w:left="360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In het geval waarin deze SWH een teef is, zullen de kandidaat-kopers van de uit een geslaagde dekking van deze SWH-teef voortkomende SWH-pups worden aangewezen door de NVSWH. Behoudens een enkel, incidenteel geval waarin de NVSWH een decisieve stem heeft, beslist in alle overige gevallen de eigenaar van de (gedekte) SWH-teef in overleg met de NVSWH of, en zo ja, welke kandidaat-kopers in aanmerking komen voor een pup uit het nest van de gedekte SWH-teef.</w:t>
      </w:r>
      <w:r w:rsidRPr="007E5182">
        <w:rPr>
          <w:rFonts w:ascii="Times New Roman" w:eastAsia="Times New Roman" w:hAnsi="Times New Roman" w:cs="Times New Roman"/>
          <w:b/>
          <w:bCs/>
          <w:sz w:val="24"/>
          <w:szCs w:val="24"/>
          <w:lang w:eastAsia="nl-NL"/>
        </w:rPr>
        <w:br/>
        <w:t>De betreffende koop-/verkoopovereenkomsten worden gesloten en ondertekend door zowel de eigenaar van de gedekte SWH-teef als de koper van de betreffende SWH-pup; het voor een pup verschuldigde bedrag wordt door de koper voldaan aan de NVSWH.</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numPr>
          <w:ilvl w:val="0"/>
          <w:numId w:val="1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u w:val="single"/>
          <w:lang w:eastAsia="nl-NL"/>
        </w:rPr>
        <w:t>t.a.v. het (doen) overlijden van deze SWH</w:t>
      </w:r>
    </w:p>
    <w:p w:rsidR="007E5182" w:rsidRPr="007E5182" w:rsidRDefault="007E5182" w:rsidP="007E5182">
      <w:pPr>
        <w:numPr>
          <w:ilvl w:val="0"/>
          <w:numId w:val="20"/>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lastRenderedPageBreak/>
        <w:t>De koper van deze SWH is verplicht in alle gevallen van overlijden van deze SWH zowel de verkoper als de NVSWH daarover zo spoedig mogelijk, doch uiterlijk binnen 24 uur, te informeren;</w:t>
      </w:r>
    </w:p>
    <w:p w:rsidR="007E5182" w:rsidRPr="007E5182" w:rsidRDefault="007E5182" w:rsidP="007E5182">
      <w:pPr>
        <w:numPr>
          <w:ilvl w:val="0"/>
          <w:numId w:val="20"/>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koper is verplicht aan de verkoper of de NVSWH het kadaver van deze overleden SWH te tonen, indien de verkoper of de NVSWH hem daartoe in het belang van het SWH-ras verzoekt;</w:t>
      </w:r>
    </w:p>
    <w:p w:rsidR="007E5182" w:rsidRPr="007E5182" w:rsidRDefault="007E5182" w:rsidP="007E5182">
      <w:pPr>
        <w:numPr>
          <w:ilvl w:val="0"/>
          <w:numId w:val="20"/>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koper is verplicht zijn medewerking te verlenen aan het vaststellen van de doodsoorzaak van deze SWH door het doen van sectie, indien de NVSWH dan wel de verkoper in overleg met de NVSWH hem daartoe in het belang van het SWH-ras verzoekt. Deze sectie zal worden verricht door een ter zake kundig dierenarts dan wel door een op dit terrein werkzaam onderzoekcentrum, zoals de Zoötechniek te Utrecht. De kosten van bedoelde sectie komen voor rekening van de NVSWH;</w:t>
      </w:r>
    </w:p>
    <w:p w:rsidR="007E5182" w:rsidRPr="007E5182" w:rsidRDefault="007E5182" w:rsidP="007E5182">
      <w:pPr>
        <w:numPr>
          <w:ilvl w:val="0"/>
          <w:numId w:val="20"/>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Behoudens schriftelijke toestemming van de NVSWH is het de koper onder geen beding toegestaan deze SWH op eigen initiatief te doen "inslapen". Indien gelet op de situatie waarin deze SWH verkeert er op medische gronden sprake is van een spoedeisende situatie welke het terstond doen inslapen van deze SWH wenselijk c.q. noodzakelijk maakt, mag de koper afzien van voornoemde schriftelijke toestemming, mits door hem nadien aan de NVSWH het schriftelijke en van diens handtekening voorziene advies van de betreffende dierenarts kan worden getoond.</w:t>
      </w:r>
      <w:r w:rsidRPr="007E5182">
        <w:rPr>
          <w:rFonts w:ascii="Times New Roman" w:eastAsia="Times New Roman" w:hAnsi="Times New Roman" w:cs="Times New Roman"/>
          <w:b/>
          <w:bCs/>
          <w:sz w:val="24"/>
          <w:szCs w:val="24"/>
          <w:lang w:eastAsia="nl-NL"/>
        </w:rPr>
        <w:br/>
        <w:t>Bij twijfel inzake de authenticiteit van genoemde handtekening c.q. de goede trouw van de betreffende dierenarts heeft de NVSWH, in het belang van het SWH-ras, het recht sectie te doen verrichten op het kadaver van deze SWH; de koper/eigenaar van deze SWH dient aan deze sectie zijn volledige medewerking te verlenen. Bij gebleken authenticiteit van de betreffende handtekening c.q. goede trouw van de betreffende dierenarts komen de kosten van de sectie voor rekening van de NVSWH; in alle overige gevallen komen de kosten daarvan voor rekening van de koper/eigenaar van deze SWH, die daarbij tevens de sub 4 genoemde boete verbeurt.</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numPr>
          <w:ilvl w:val="0"/>
          <w:numId w:val="2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u w:val="single"/>
          <w:lang w:eastAsia="nl-NL"/>
        </w:rPr>
        <w:t>t.a.v. overtreding(en) e.d.</w:t>
      </w:r>
    </w:p>
    <w:p w:rsidR="007E5182" w:rsidRPr="007E5182" w:rsidRDefault="007E5182" w:rsidP="007E5182">
      <w:pPr>
        <w:numPr>
          <w:ilvl w:val="0"/>
          <w:numId w:val="22"/>
        </w:numPr>
        <w:spacing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Bij overtreding of anderszins niet of onvolledig nakomen van de bepalingen in deze overeenkomst en/of de voornoemde regels verbeurt de koper van deze SWH een direct opeisbare, niet voor matiging vatbare, geldelijke boete van € 22.690,00 aan de NVSWH. Deze boete dient door de koper binnen een termijn van twee jaar volledig te zijn voldaan.</w:t>
      </w:r>
    </w:p>
    <w:p w:rsidR="007E5182" w:rsidRPr="007E5182" w:rsidRDefault="007E5182" w:rsidP="007E5182">
      <w:pPr>
        <w:numPr>
          <w:ilvl w:val="0"/>
          <w:numId w:val="22"/>
        </w:numPr>
        <w:spacing w:before="100" w:beforeAutospacing="1" w:after="100" w:afterAutospacing="1" w:line="240" w:lineRule="auto"/>
        <w:ind w:left="2160"/>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Bij herhaalde overtreding of herhaald anderszins niet of onvolledig nakomen van de bepalingen in deze overeenkomst en/of de voornoemde regels verplicht de koper zich om op eerste verzoek van de NVSWH de SWH om niet in eigendom over te dragen aan de NVSWH. Daarenboven hebben zowel de verkoper als de </w:t>
      </w:r>
      <w:r w:rsidRPr="007E5182">
        <w:rPr>
          <w:rFonts w:ascii="Times New Roman" w:eastAsia="Times New Roman" w:hAnsi="Times New Roman" w:cs="Times New Roman"/>
          <w:b/>
          <w:bCs/>
          <w:sz w:val="24"/>
          <w:szCs w:val="24"/>
          <w:lang w:eastAsia="nl-NL"/>
        </w:rPr>
        <w:lastRenderedPageBreak/>
        <w:t>NVSWH het recht de geleden schade en gemaakte kosten op de koper te verhalen.</w:t>
      </w:r>
    </w:p>
    <w:p w:rsidR="007E5182" w:rsidRPr="007E5182" w:rsidRDefault="007E5182" w:rsidP="007E5182">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Het Nederlands Recht is op deze overeenkomst van toepassing.</w:t>
      </w:r>
    </w:p>
    <w:p w:rsidR="007E5182" w:rsidRPr="007E5182" w:rsidRDefault="007E5182" w:rsidP="007E5182">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xml:space="preserve">Indien een geschil ontstaat, dat in verband staat met deze overeenkomst of met daarop voortbouwende of daaruit voortvloeiende overeenkomsten, dan zal dit geschil beslecht worden door </w:t>
      </w:r>
      <w:proofErr w:type="spellStart"/>
      <w:r w:rsidRPr="007E5182">
        <w:rPr>
          <w:rFonts w:ascii="Times New Roman" w:eastAsia="Times New Roman" w:hAnsi="Times New Roman" w:cs="Times New Roman"/>
          <w:b/>
          <w:bCs/>
          <w:sz w:val="24"/>
          <w:szCs w:val="24"/>
          <w:lang w:eastAsia="nl-NL"/>
        </w:rPr>
        <w:t>abritage</w:t>
      </w:r>
      <w:proofErr w:type="spellEnd"/>
      <w:r w:rsidRPr="007E5182">
        <w:rPr>
          <w:rFonts w:ascii="Times New Roman" w:eastAsia="Times New Roman" w:hAnsi="Times New Roman" w:cs="Times New Roman"/>
          <w:b/>
          <w:bCs/>
          <w:sz w:val="24"/>
          <w:szCs w:val="24"/>
          <w:lang w:eastAsia="nl-NL"/>
        </w:rPr>
        <w:t xml:space="preserve"> vanwege de VERENIGING ARBITRAGE NOORD-NEDERLAND (VANN) overeenkomstig de voorwaarden van de VANN te Groningen.</w:t>
      </w:r>
    </w:p>
    <w:p w:rsidR="007E5182" w:rsidRPr="007E5182" w:rsidRDefault="007E5182" w:rsidP="007E5182">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Aldus overeengekomen en in drievoud ondertekend</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te</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400"/>
        <w:gridCol w:w="3229"/>
        <w:gridCol w:w="385"/>
        <w:gridCol w:w="3244"/>
      </w:tblGrid>
      <w:tr w:rsidR="007E5182" w:rsidRPr="007E5182" w:rsidTr="007E5182">
        <w:trPr>
          <w:tblCellSpacing w:w="15" w:type="dxa"/>
        </w:trPr>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(a)</w:t>
            </w:r>
          </w:p>
        </w:tc>
        <w:tc>
          <w:tcPr>
            <w:tcW w:w="2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Handtekening verkoper:</w:t>
            </w:r>
          </w:p>
        </w:tc>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(b)</w:t>
            </w:r>
          </w:p>
        </w:tc>
        <w:tc>
          <w:tcPr>
            <w:tcW w:w="2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Handtekening koper:</w:t>
            </w:r>
          </w:p>
        </w:tc>
      </w:tr>
    </w:tbl>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tbl>
      <w:tblPr>
        <w:tblW w:w="4000" w:type="pct"/>
        <w:tblCellSpacing w:w="15" w:type="dxa"/>
        <w:tblCellMar>
          <w:top w:w="15" w:type="dxa"/>
          <w:left w:w="15" w:type="dxa"/>
          <w:bottom w:w="15" w:type="dxa"/>
          <w:right w:w="15" w:type="dxa"/>
        </w:tblCellMar>
        <w:tblLook w:val="04A0" w:firstRow="1" w:lastRow="0" w:firstColumn="1" w:lastColumn="0" w:noHBand="0" w:noVBand="1"/>
      </w:tblPr>
      <w:tblGrid>
        <w:gridCol w:w="402"/>
        <w:gridCol w:w="3242"/>
        <w:gridCol w:w="3614"/>
      </w:tblGrid>
      <w:tr w:rsidR="007E5182" w:rsidRPr="007E5182" w:rsidTr="007E5182">
        <w:trPr>
          <w:tblCellSpacing w:w="15" w:type="dxa"/>
        </w:trPr>
        <w:tc>
          <w:tcPr>
            <w:tcW w:w="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(c)</w:t>
            </w:r>
          </w:p>
        </w:tc>
        <w:tc>
          <w:tcPr>
            <w:tcW w:w="2250" w:type="pct"/>
            <w:gridSpan w:val="2"/>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NEDERLANDSE VERENIGING VAN SAARLOOSWOLFHONDEN</w:t>
            </w:r>
          </w:p>
        </w:tc>
      </w:tr>
      <w:tr w:rsidR="007E5182" w:rsidRPr="007E5182" w:rsidTr="007E5182">
        <w:trPr>
          <w:tblCellSpacing w:w="15" w:type="dxa"/>
        </w:trPr>
        <w:tc>
          <w:tcPr>
            <w:tcW w:w="75" w:type="dxa"/>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 </w:t>
            </w:r>
          </w:p>
        </w:tc>
        <w:tc>
          <w:tcPr>
            <w:tcW w:w="225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voorzitter</w:t>
            </w:r>
          </w:p>
        </w:tc>
        <w:tc>
          <w:tcPr>
            <w:tcW w:w="2500" w:type="pct"/>
            <w:hideMark/>
          </w:tcPr>
          <w:p w:rsidR="007E5182" w:rsidRPr="007E5182" w:rsidRDefault="007E5182" w:rsidP="007E5182">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7E5182">
              <w:rPr>
                <w:rFonts w:ascii="Times New Roman" w:eastAsia="Times New Roman" w:hAnsi="Times New Roman" w:cs="Times New Roman"/>
                <w:b/>
                <w:bCs/>
                <w:sz w:val="24"/>
                <w:szCs w:val="24"/>
                <w:lang w:eastAsia="nl-NL"/>
              </w:rPr>
              <w:t>de secretaris</w:t>
            </w:r>
          </w:p>
        </w:tc>
      </w:tr>
    </w:tbl>
    <w:p w:rsidR="00517397" w:rsidRDefault="00517397">
      <w:bookmarkStart w:id="0" w:name="_GoBack"/>
      <w:bookmarkEnd w:id="0"/>
    </w:p>
    <w:sectPr w:rsidR="00517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7F5A"/>
    <w:multiLevelType w:val="multilevel"/>
    <w:tmpl w:val="C262A0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654B2"/>
    <w:multiLevelType w:val="multilevel"/>
    <w:tmpl w:val="14AED3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982384"/>
    <w:multiLevelType w:val="multilevel"/>
    <w:tmpl w:val="8EEC7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B019ED"/>
    <w:multiLevelType w:val="multilevel"/>
    <w:tmpl w:val="B120B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A2933"/>
    <w:multiLevelType w:val="multilevel"/>
    <w:tmpl w:val="A44C63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BA6220"/>
    <w:multiLevelType w:val="multilevel"/>
    <w:tmpl w:val="6346D8D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0FDE6655"/>
    <w:multiLevelType w:val="multilevel"/>
    <w:tmpl w:val="3FC86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722CD8"/>
    <w:multiLevelType w:val="multilevel"/>
    <w:tmpl w:val="31C0E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D142DB"/>
    <w:multiLevelType w:val="multilevel"/>
    <w:tmpl w:val="248A19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874104"/>
    <w:multiLevelType w:val="multilevel"/>
    <w:tmpl w:val="E51E4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54693C"/>
    <w:multiLevelType w:val="multilevel"/>
    <w:tmpl w:val="E8FC8C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0D5885"/>
    <w:multiLevelType w:val="multilevel"/>
    <w:tmpl w:val="74D819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875DE6"/>
    <w:multiLevelType w:val="multilevel"/>
    <w:tmpl w:val="2D1873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1A62CFC"/>
    <w:multiLevelType w:val="multilevel"/>
    <w:tmpl w:val="DBCC9B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5C445FD"/>
    <w:multiLevelType w:val="multilevel"/>
    <w:tmpl w:val="64300A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EA4EB5"/>
    <w:multiLevelType w:val="multilevel"/>
    <w:tmpl w:val="8F1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1F79DE"/>
    <w:multiLevelType w:val="multilevel"/>
    <w:tmpl w:val="216A3E7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605E37B4"/>
    <w:multiLevelType w:val="multilevel"/>
    <w:tmpl w:val="75D4D40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618339BD"/>
    <w:multiLevelType w:val="multilevel"/>
    <w:tmpl w:val="AFF02896"/>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15:restartNumberingAfterBreak="0">
    <w:nsid w:val="6B1E3290"/>
    <w:multiLevelType w:val="multilevel"/>
    <w:tmpl w:val="0E148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0A4CE8"/>
    <w:multiLevelType w:val="multilevel"/>
    <w:tmpl w:val="318C5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E1624C"/>
    <w:multiLevelType w:val="multilevel"/>
    <w:tmpl w:val="7ADE2A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CC3A00"/>
    <w:multiLevelType w:val="multilevel"/>
    <w:tmpl w:val="948EA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16"/>
  </w:num>
  <w:num w:numId="4">
    <w:abstractNumId w:val="12"/>
  </w:num>
  <w:num w:numId="5">
    <w:abstractNumId w:val="3"/>
  </w:num>
  <w:num w:numId="6">
    <w:abstractNumId w:val="18"/>
  </w:num>
  <w:num w:numId="7">
    <w:abstractNumId w:val="11"/>
  </w:num>
  <w:num w:numId="8">
    <w:abstractNumId w:val="9"/>
  </w:num>
  <w:num w:numId="9">
    <w:abstractNumId w:val="7"/>
  </w:num>
  <w:num w:numId="10">
    <w:abstractNumId w:val="19"/>
  </w:num>
  <w:num w:numId="11">
    <w:abstractNumId w:val="13"/>
  </w:num>
  <w:num w:numId="12">
    <w:abstractNumId w:val="21"/>
  </w:num>
  <w:num w:numId="13">
    <w:abstractNumId w:val="20"/>
  </w:num>
  <w:num w:numId="14">
    <w:abstractNumId w:val="2"/>
  </w:num>
  <w:num w:numId="15">
    <w:abstractNumId w:val="1"/>
  </w:num>
  <w:num w:numId="16">
    <w:abstractNumId w:val="0"/>
  </w:num>
  <w:num w:numId="17">
    <w:abstractNumId w:val="14"/>
  </w:num>
  <w:num w:numId="18">
    <w:abstractNumId w:val="15"/>
  </w:num>
  <w:num w:numId="19">
    <w:abstractNumId w:val="10"/>
  </w:num>
  <w:num w:numId="20">
    <w:abstractNumId w:val="6"/>
  </w:num>
  <w:num w:numId="21">
    <w:abstractNumId w:val="4"/>
  </w:num>
  <w:num w:numId="22">
    <w:abstractNumId w:val="22"/>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182"/>
    <w:rsid w:val="00517397"/>
    <w:rsid w:val="007E51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104AEA-8656-49EF-8700-07FD70E0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link w:val="Kop3Char"/>
    <w:uiPriority w:val="9"/>
    <w:qFormat/>
    <w:rsid w:val="007E518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7E5182"/>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7E5182"/>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E5182"/>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7E5182"/>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7E5182"/>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7E518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799144">
      <w:bodyDiv w:val="1"/>
      <w:marLeft w:val="0"/>
      <w:marRight w:val="0"/>
      <w:marTop w:val="0"/>
      <w:marBottom w:val="0"/>
      <w:divBdr>
        <w:top w:val="none" w:sz="0" w:space="0" w:color="auto"/>
        <w:left w:val="none" w:sz="0" w:space="0" w:color="auto"/>
        <w:bottom w:val="none" w:sz="0" w:space="0" w:color="auto"/>
        <w:right w:val="none" w:sz="0" w:space="0" w:color="auto"/>
      </w:divBdr>
      <w:divsChild>
        <w:div w:id="1759473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1902669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365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59360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63201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3618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5780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940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23040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269254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4638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22562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57839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7129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46641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72892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561109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0184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40206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10423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30688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86296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922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471331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9604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576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35011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5363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2710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21063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332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631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899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2502</Words>
  <Characters>13766</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in 't Veld</dc:creator>
  <cp:keywords/>
  <dc:description/>
  <cp:lastModifiedBy>Ruud in 't Veld</cp:lastModifiedBy>
  <cp:revision>1</cp:revision>
  <dcterms:created xsi:type="dcterms:W3CDTF">2019-01-20T11:39:00Z</dcterms:created>
  <dcterms:modified xsi:type="dcterms:W3CDTF">2019-01-20T11:41:00Z</dcterms:modified>
</cp:coreProperties>
</file>